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9F7F" w14:textId="77777777" w:rsidR="00491BBD" w:rsidRDefault="00491BBD" w:rsidP="000F5F98">
      <w:pPr>
        <w:pStyle w:val="Heading1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inline distT="0" distB="0" distL="0" distR="0" wp14:anchorId="0BAF3F99" wp14:editId="5D27949E">
            <wp:extent cx="1533525" cy="1488116"/>
            <wp:effectExtent l="0" t="0" r="0" b="0"/>
            <wp:docPr id="2" name="Picture 2" descr="Activity Alliance logo with strapline disability, inclusion and sport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ity Alliance Logo_Strap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62" cy="149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C08D" w14:textId="77777777" w:rsidR="0098212F" w:rsidRDefault="0098212F" w:rsidP="0098212F"/>
    <w:p w14:paraId="0DE4ACE7" w14:textId="62A8BF31" w:rsidR="004C2EE0" w:rsidRPr="008E165B" w:rsidRDefault="00572F96" w:rsidP="00491BBD">
      <w:pPr>
        <w:pStyle w:val="Title"/>
        <w:rPr>
          <w:sz w:val="48"/>
        </w:rPr>
      </w:pPr>
      <w:r>
        <w:rPr>
          <w:sz w:val="48"/>
        </w:rPr>
        <w:t xml:space="preserve">Active Partnerships: </w:t>
      </w:r>
      <w:r w:rsidR="00B65658">
        <w:rPr>
          <w:sz w:val="48"/>
        </w:rPr>
        <w:t>Activity Alliance</w:t>
      </w:r>
      <w:r w:rsidR="00FB77E0">
        <w:rPr>
          <w:sz w:val="48"/>
        </w:rPr>
        <w:t>’s</w:t>
      </w:r>
      <w:r w:rsidR="00B65658">
        <w:rPr>
          <w:sz w:val="48"/>
        </w:rPr>
        <w:t xml:space="preserve"> </w:t>
      </w:r>
      <w:r w:rsidR="00FB77E0">
        <w:rPr>
          <w:sz w:val="48"/>
        </w:rPr>
        <w:t>s</w:t>
      </w:r>
      <w:r>
        <w:rPr>
          <w:sz w:val="48"/>
        </w:rPr>
        <w:t xml:space="preserve">upport and </w:t>
      </w:r>
      <w:r w:rsidR="00FB77E0">
        <w:rPr>
          <w:sz w:val="48"/>
        </w:rPr>
        <w:t>r</w:t>
      </w:r>
      <w:r w:rsidR="00625716">
        <w:rPr>
          <w:sz w:val="48"/>
        </w:rPr>
        <w:t>esources</w:t>
      </w:r>
      <w:r w:rsidR="00FB77E0">
        <w:rPr>
          <w:sz w:val="48"/>
        </w:rPr>
        <w:t xml:space="preserve">. </w:t>
      </w:r>
      <w:r w:rsidR="00FC4A0A" w:rsidRPr="008E165B">
        <w:rPr>
          <w:sz w:val="48"/>
        </w:rPr>
        <w:t xml:space="preserve"> </w:t>
      </w:r>
    </w:p>
    <w:p w14:paraId="18C9DEEE" w14:textId="77777777" w:rsidR="000F5F98" w:rsidRDefault="000F5F98" w:rsidP="000F5F98">
      <w:pPr>
        <w:rPr>
          <w:b/>
        </w:rPr>
      </w:pPr>
    </w:p>
    <w:p w14:paraId="137A0F1B" w14:textId="24732D08" w:rsidR="00625716" w:rsidRPr="0032384A" w:rsidRDefault="00625716" w:rsidP="000F5F98">
      <w:pPr>
        <w:rPr>
          <w:b/>
        </w:rPr>
      </w:pPr>
      <w:r>
        <w:rPr>
          <w:b/>
        </w:rPr>
        <w:t xml:space="preserve">Please find below further information about Activity Alliance </w:t>
      </w:r>
      <w:r w:rsidR="00572F96">
        <w:rPr>
          <w:b/>
        </w:rPr>
        <w:t>support offer, improvement toolkits and</w:t>
      </w:r>
      <w:r>
        <w:rPr>
          <w:b/>
        </w:rPr>
        <w:t xml:space="preserve"> resources.</w:t>
      </w:r>
    </w:p>
    <w:p w14:paraId="4CA22C97" w14:textId="77777777" w:rsidR="00625716" w:rsidRDefault="00625716" w:rsidP="004B541E"/>
    <w:p w14:paraId="04957606" w14:textId="77777777" w:rsidR="00A43FCB" w:rsidRDefault="003C4D13" w:rsidP="004B541E">
      <w:r>
        <w:t>Disabled people count for one in five of our population</w:t>
      </w:r>
      <w:r w:rsidR="00565988" w:rsidRPr="004B541E">
        <w:t xml:space="preserve">. Yet, disabled people are twice as likely to be inactive as non-disabled people. </w:t>
      </w:r>
      <w:r w:rsidR="00491BBD" w:rsidRPr="004B541E">
        <w:t>Activity Alliance brings</w:t>
      </w:r>
      <w:r w:rsidR="00B62788" w:rsidRPr="004B541E">
        <w:t xml:space="preserve"> </w:t>
      </w:r>
      <w:r w:rsidR="00491BBD" w:rsidRPr="004B541E">
        <w:t xml:space="preserve">members, partners and disabled people together to make active lives possible. Collectively, we continue to challenge perceptions and change the reality of </w:t>
      </w:r>
      <w:r w:rsidR="00491BBD" w:rsidRPr="004B541E">
        <w:rPr>
          <w:rStyle w:val="Strong"/>
        </w:rPr>
        <w:t>disability, inclusion and sport</w:t>
      </w:r>
      <w:r w:rsidR="00491BBD" w:rsidRPr="004B541E">
        <w:t xml:space="preserve">. </w:t>
      </w:r>
      <w:r w:rsidR="00491BBD" w:rsidRPr="004B541E">
        <w:rPr>
          <w:rStyle w:val="Strong"/>
          <w:b w:val="0"/>
        </w:rPr>
        <w:t>For more than 20 years</w:t>
      </w:r>
      <w:r w:rsidR="00933E14" w:rsidRPr="004B541E">
        <w:rPr>
          <w:rStyle w:val="Strong"/>
          <w:b w:val="0"/>
        </w:rPr>
        <w:t>,</w:t>
      </w:r>
      <w:r w:rsidR="00491BBD" w:rsidRPr="004B541E">
        <w:rPr>
          <w:rStyle w:val="Strong"/>
          <w:b w:val="0"/>
        </w:rPr>
        <w:t xml:space="preserve"> we have enabled</w:t>
      </w:r>
      <w:r w:rsidR="00491BBD" w:rsidRPr="004B541E">
        <w:rPr>
          <w:b/>
        </w:rPr>
        <w:t xml:space="preserve"> </w:t>
      </w:r>
      <w:r w:rsidR="00491BBD" w:rsidRPr="004B541E">
        <w:t>organisations to support</w:t>
      </w:r>
      <w:r w:rsidR="00315274" w:rsidRPr="004B541E">
        <w:t xml:space="preserve"> disabled</w:t>
      </w:r>
      <w:r w:rsidR="00491BBD" w:rsidRPr="004B541E">
        <w:t xml:space="preserve"> individual</w:t>
      </w:r>
      <w:r w:rsidR="00315274" w:rsidRPr="004B541E">
        <w:t>s</w:t>
      </w:r>
      <w:r w:rsidR="00491BBD" w:rsidRPr="004B541E">
        <w:t xml:space="preserve"> to be and stay active for life. </w:t>
      </w:r>
    </w:p>
    <w:p w14:paraId="74DD7D7F" w14:textId="77777777" w:rsidR="00565988" w:rsidRDefault="00565988" w:rsidP="000F5F98"/>
    <w:p w14:paraId="70246F9D" w14:textId="521F1820" w:rsidR="000F5F98" w:rsidRPr="0032384A" w:rsidRDefault="00315274" w:rsidP="000F5F98">
      <w:r>
        <w:t>Our teams work at a regional and national level, and are at the centre of influential world-renowned programmes for disabled people.</w:t>
      </w:r>
      <w:r w:rsidR="00565988">
        <w:t xml:space="preserve"> </w:t>
      </w:r>
      <w:r>
        <w:t xml:space="preserve">We share your ambition to </w:t>
      </w:r>
      <w:r w:rsidRPr="0032384A">
        <w:t>make a difference to the pe</w:t>
      </w:r>
      <w:r>
        <w:t>ople we work with and support. To do this, we</w:t>
      </w:r>
      <w:r w:rsidRPr="0032384A">
        <w:t xml:space="preserve"> provide a range of</w:t>
      </w:r>
      <w:r>
        <w:t xml:space="preserve"> services to organisations in </w:t>
      </w:r>
      <w:r w:rsidRPr="0032384A">
        <w:t>sport</w:t>
      </w:r>
      <w:r w:rsidR="00572F96">
        <w:t xml:space="preserve">, leisure and physical activity sectors as well as give guidance information to this that support disabled people in their daily life. </w:t>
      </w:r>
      <w:r>
        <w:t xml:space="preserve"> </w:t>
      </w:r>
    </w:p>
    <w:p w14:paraId="40DACB41" w14:textId="77777777" w:rsidR="00315274" w:rsidRPr="0032384A" w:rsidRDefault="00315274" w:rsidP="00315274"/>
    <w:p w14:paraId="24B441C6" w14:textId="27649C66" w:rsidR="000F5F98" w:rsidRPr="0032384A" w:rsidRDefault="00572F96" w:rsidP="000F5F98">
      <w:r>
        <w:t>Below summarises some of the support we can offer you, however if you want t</w:t>
      </w:r>
      <w:r w:rsidR="001453FB">
        <w:t>o find out</w:t>
      </w:r>
      <w:r>
        <w:t xml:space="preserve"> </w:t>
      </w:r>
      <w:r w:rsidR="001453FB">
        <w:t>more</w:t>
      </w:r>
      <w:r>
        <w:t xml:space="preserve">, </w:t>
      </w:r>
      <w:r w:rsidR="00315274" w:rsidRPr="0032384A">
        <w:t xml:space="preserve">please get in touch with </w:t>
      </w:r>
      <w:r w:rsidR="001453FB">
        <w:t xml:space="preserve">our </w:t>
      </w:r>
      <w:r w:rsidR="00315274" w:rsidRPr="0032384A">
        <w:t>team</w:t>
      </w:r>
      <w:r w:rsidR="001453FB">
        <w:t xml:space="preserve"> </w:t>
      </w:r>
      <w:r>
        <w:t xml:space="preserve">by visiting </w:t>
      </w:r>
      <w:hyperlink r:id="rId11" w:history="1">
        <w:r w:rsidR="00315274" w:rsidRPr="000036A5">
          <w:rPr>
            <w:rStyle w:val="Hyperlink"/>
          </w:rPr>
          <w:t>www.activityalliance.org.uk/engagement</w:t>
        </w:r>
      </w:hyperlink>
      <w:r>
        <w:t xml:space="preserve"> for relevant contact details.</w:t>
      </w:r>
      <w:r w:rsidR="0044249B">
        <w:t xml:space="preserve"> Call us on 01509 227750 or email </w:t>
      </w:r>
      <w:hyperlink r:id="rId12" w:history="1">
        <w:r w:rsidRPr="00684AAF">
          <w:rPr>
            <w:rStyle w:val="Hyperlink"/>
          </w:rPr>
          <w:t>info@activityalliance.org.uk</w:t>
        </w:r>
      </w:hyperlink>
      <w:r w:rsidR="0044249B">
        <w:t xml:space="preserve">. </w:t>
      </w:r>
    </w:p>
    <w:p w14:paraId="324C1582" w14:textId="77777777" w:rsidR="000F5F98" w:rsidRPr="0032384A" w:rsidRDefault="000F5F98" w:rsidP="000F5F98"/>
    <w:tbl>
      <w:tblPr>
        <w:tblStyle w:val="ListTable3-Accent5"/>
        <w:tblW w:w="10196" w:type="dxa"/>
        <w:tblLook w:val="04A0" w:firstRow="1" w:lastRow="0" w:firstColumn="1" w:lastColumn="0" w:noHBand="0" w:noVBand="1"/>
      </w:tblPr>
      <w:tblGrid>
        <w:gridCol w:w="2891"/>
        <w:gridCol w:w="7305"/>
      </w:tblGrid>
      <w:tr w:rsidR="00131671" w:rsidRPr="00131671" w14:paraId="696F5D8E" w14:textId="77777777" w:rsidTr="00131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hideMark/>
          </w:tcPr>
          <w:p w14:paraId="2BE1E821" w14:textId="77777777" w:rsidR="000F5F98" w:rsidRPr="00131671" w:rsidRDefault="0098212F" w:rsidP="0098212F">
            <w:pPr>
              <w:rPr>
                <w:sz w:val="28"/>
              </w:rPr>
            </w:pPr>
            <w:r w:rsidRPr="00131671">
              <w:rPr>
                <w:sz w:val="28"/>
              </w:rPr>
              <w:t>Strategic a</w:t>
            </w:r>
            <w:r w:rsidR="000F5F98" w:rsidRPr="00131671">
              <w:rPr>
                <w:sz w:val="28"/>
              </w:rPr>
              <w:t>rea</w:t>
            </w:r>
          </w:p>
        </w:tc>
        <w:tc>
          <w:tcPr>
            <w:tcW w:w="7366" w:type="dxa"/>
            <w:hideMark/>
          </w:tcPr>
          <w:p w14:paraId="149313E8" w14:textId="77777777" w:rsidR="000F5F98" w:rsidRPr="00131671" w:rsidRDefault="00364D55" w:rsidP="000F5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Resources </w:t>
            </w:r>
          </w:p>
        </w:tc>
      </w:tr>
      <w:tr w:rsidR="00131671" w:rsidRPr="0032384A" w14:paraId="55CF67B2" w14:textId="77777777" w:rsidTr="0013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650C37" w14:textId="77777777" w:rsidR="00AB6508" w:rsidRDefault="00AB6508" w:rsidP="00131671">
            <w:pPr>
              <w:jc w:val="center"/>
            </w:pPr>
          </w:p>
          <w:p w14:paraId="6F928EF1" w14:textId="77777777" w:rsidR="00131671" w:rsidRDefault="00131671" w:rsidP="001316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7D488A" wp14:editId="2B54B97D">
                  <wp:extent cx="1019741" cy="857250"/>
                  <wp:effectExtent l="0" t="0" r="9525" b="0"/>
                  <wp:docPr id="4" name="Picture 4" descr="Three people, disabled and non-disabled, one with a speech bubble " title="Engagement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pporting Engagement_Icon_RG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974" cy="86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2A238" w14:textId="77777777" w:rsidR="00131671" w:rsidRDefault="00131671" w:rsidP="000F5F98"/>
          <w:p w14:paraId="02962320" w14:textId="77777777" w:rsidR="00FE1EC2" w:rsidRPr="008E165B" w:rsidRDefault="00933E14" w:rsidP="000F5F98">
            <w:pPr>
              <w:rPr>
                <w:sz w:val="28"/>
              </w:rPr>
            </w:pPr>
            <w:r w:rsidRPr="00131671">
              <w:rPr>
                <w:sz w:val="28"/>
              </w:rPr>
              <w:t xml:space="preserve">Engagement </w:t>
            </w:r>
          </w:p>
        </w:tc>
        <w:tc>
          <w:tcPr>
            <w:tcW w:w="7366" w:type="dxa"/>
          </w:tcPr>
          <w:p w14:paraId="54CE41DD" w14:textId="64F855DD" w:rsidR="00364D55" w:rsidRDefault="00FE1EC2" w:rsidP="003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enable organisations to be more effective in reaching and engaging less active disabled people. </w:t>
            </w:r>
            <w:r w:rsidR="00573E4E">
              <w:t>Our</w:t>
            </w:r>
            <w:r w:rsidR="00F3004A">
              <w:t xml:space="preserve"> range of </w:t>
            </w:r>
            <w:r w:rsidR="00933E14">
              <w:t>resources, webinars, workshops and engagement days</w:t>
            </w:r>
            <w:r>
              <w:t xml:space="preserve"> empower your teams to think and act inclusively</w:t>
            </w:r>
            <w:r w:rsidR="000213A4">
              <w:t xml:space="preserve"> at all levels of working:</w:t>
            </w:r>
          </w:p>
          <w:p w14:paraId="07C1A0D2" w14:textId="77777777" w:rsidR="00364D55" w:rsidRDefault="00364D55" w:rsidP="003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434120" w14:textId="77777777" w:rsidR="00364D55" w:rsidRPr="00373975" w:rsidRDefault="00946C86" w:rsidP="003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4" w:history="1">
              <w:r w:rsidR="00364D55" w:rsidRPr="00373975">
                <w:rPr>
                  <w:rStyle w:val="Hyperlink"/>
                  <w:b/>
                </w:rPr>
                <w:t>Click here for Engagement Resources</w:t>
              </w:r>
            </w:hyperlink>
            <w:r w:rsidR="004E214B" w:rsidRPr="00373975">
              <w:rPr>
                <w:b/>
              </w:rPr>
              <w:t xml:space="preserve"> </w:t>
            </w:r>
            <w:r w:rsidR="004E214B" w:rsidRPr="00373975">
              <w:t>and</w:t>
            </w:r>
            <w:r w:rsidR="004E214B" w:rsidRPr="00373975">
              <w:rPr>
                <w:b/>
              </w:rPr>
              <w:t xml:space="preserve"> </w:t>
            </w:r>
            <w:hyperlink r:id="rId15" w:history="1">
              <w:r w:rsidR="004E214B" w:rsidRPr="00373975">
                <w:rPr>
                  <w:rStyle w:val="Hyperlink"/>
                  <w:b/>
                </w:rPr>
                <w:t>click here for the accompanying learning presentations</w:t>
              </w:r>
            </w:hyperlink>
          </w:p>
          <w:p w14:paraId="7126423D" w14:textId="77777777" w:rsidR="00364D55" w:rsidRDefault="00364D55" w:rsidP="003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 include:</w:t>
            </w:r>
          </w:p>
          <w:p w14:paraId="63C8014A" w14:textId="67D7B843" w:rsidR="00364D55" w:rsidRDefault="00946C86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6" w:history="1">
              <w:r w:rsidR="00364D55" w:rsidRPr="000213A4">
                <w:rPr>
                  <w:rStyle w:val="Hyperlink"/>
                  <w:sz w:val="24"/>
                  <w:szCs w:val="24"/>
                </w:rPr>
                <w:t>Effective Engagement</w:t>
              </w:r>
            </w:hyperlink>
          </w:p>
          <w:p w14:paraId="420C6F30" w14:textId="5FCAE92F" w:rsidR="00364D55" w:rsidRPr="00625716" w:rsidRDefault="00946C86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7" w:history="1">
              <w:r w:rsidR="00364D55" w:rsidRPr="000213A4">
                <w:rPr>
                  <w:rStyle w:val="Hyperlink"/>
                  <w:sz w:val="24"/>
                  <w:szCs w:val="24"/>
                </w:rPr>
                <w:t>Gathering &amp; using insight on disabled people</w:t>
              </w:r>
            </w:hyperlink>
          </w:p>
          <w:p w14:paraId="721256A2" w14:textId="64F344D2" w:rsidR="00364D55" w:rsidRPr="00625716" w:rsidRDefault="00946C86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8" w:history="1">
              <w:r w:rsidR="00364D55" w:rsidRPr="000213A4">
                <w:rPr>
                  <w:rStyle w:val="Hyperlink"/>
                  <w:sz w:val="24"/>
                  <w:szCs w:val="24"/>
                </w:rPr>
                <w:t>Engagement through research and insight</w:t>
              </w:r>
            </w:hyperlink>
            <w:r w:rsidR="00364D55" w:rsidRPr="00625716">
              <w:rPr>
                <w:sz w:val="24"/>
                <w:szCs w:val="24"/>
              </w:rPr>
              <w:t xml:space="preserve"> </w:t>
            </w:r>
          </w:p>
          <w:p w14:paraId="449268A8" w14:textId="69CF9ED5" w:rsidR="00364D55" w:rsidRPr="00625716" w:rsidRDefault="00946C86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9" w:history="1">
              <w:r w:rsidR="00364D55" w:rsidRPr="000213A4">
                <w:rPr>
                  <w:rStyle w:val="Hyperlink"/>
                  <w:sz w:val="24"/>
                  <w:szCs w:val="24"/>
                </w:rPr>
                <w:t>Engaging older people</w:t>
              </w:r>
            </w:hyperlink>
          </w:p>
          <w:p w14:paraId="3FC5CCC6" w14:textId="521E5174" w:rsidR="004E214B" w:rsidRPr="00625716" w:rsidRDefault="00946C86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0" w:history="1">
              <w:r w:rsidR="00364D55" w:rsidRPr="000213A4">
                <w:rPr>
                  <w:rStyle w:val="Hyperlink"/>
                  <w:sz w:val="24"/>
                  <w:szCs w:val="24"/>
                </w:rPr>
                <w:t>Understanding children and young people</w:t>
              </w:r>
            </w:hyperlink>
          </w:p>
          <w:p w14:paraId="158C0807" w14:textId="57D2DF2A" w:rsidR="004E214B" w:rsidRDefault="00946C86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1" w:history="1">
              <w:r w:rsidR="004E214B" w:rsidRPr="000213A4">
                <w:rPr>
                  <w:rStyle w:val="Hyperlink"/>
                  <w:sz w:val="24"/>
                  <w:szCs w:val="24"/>
                </w:rPr>
                <w:t>Supporters role in engaging disabled people</w:t>
              </w:r>
            </w:hyperlink>
            <w:r w:rsidR="004E214B" w:rsidRPr="00625716">
              <w:rPr>
                <w:sz w:val="24"/>
                <w:szCs w:val="24"/>
              </w:rPr>
              <w:t xml:space="preserve"> </w:t>
            </w:r>
          </w:p>
          <w:p w14:paraId="4FC82121" w14:textId="7DED4F43" w:rsidR="000213A4" w:rsidRPr="000213A4" w:rsidRDefault="00946C86" w:rsidP="000213A4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2" w:history="1">
              <w:r w:rsidR="000213A4" w:rsidRPr="00373975">
                <w:rPr>
                  <w:rStyle w:val="Hyperlink"/>
                  <w:sz w:val="24"/>
                  <w:szCs w:val="24"/>
                </w:rPr>
                <w:t>Talk to Me Ten Principles</w:t>
              </w:r>
            </w:hyperlink>
          </w:p>
          <w:p w14:paraId="381CB847" w14:textId="77777777" w:rsidR="00364D55" w:rsidRPr="00625716" w:rsidRDefault="00364D55" w:rsidP="00364D55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5716">
              <w:rPr>
                <w:sz w:val="24"/>
                <w:szCs w:val="24"/>
              </w:rPr>
              <w:lastRenderedPageBreak/>
              <w:t xml:space="preserve">And much more. </w:t>
            </w:r>
          </w:p>
          <w:p w14:paraId="40D65D6D" w14:textId="77777777" w:rsidR="00364D55" w:rsidRDefault="00364D55" w:rsidP="003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AEC12" w14:textId="77777777" w:rsidR="00364D55" w:rsidRDefault="00364D55" w:rsidP="0036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716" w:rsidRPr="0032384A" w14:paraId="2F86131A" w14:textId="77777777" w:rsidTr="0013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CA0CEE" w14:textId="77777777" w:rsidR="00625716" w:rsidRDefault="00625716" w:rsidP="00625716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C5CC4B4" wp14:editId="3DF3147E">
                  <wp:extent cx="1037897" cy="877296"/>
                  <wp:effectExtent l="0" t="0" r="0" b="0"/>
                  <wp:docPr id="1" name="Picture 1" descr="A magnifying glass with moving cogs" title="Research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sing Research and Insight_Icon_RGB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946" cy="88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EC434" w14:textId="77777777" w:rsidR="00625716" w:rsidRDefault="00625716" w:rsidP="00625716"/>
          <w:p w14:paraId="7899CC23" w14:textId="77777777" w:rsidR="00625716" w:rsidRPr="009B7CC0" w:rsidRDefault="00625716" w:rsidP="00625716">
            <w:pPr>
              <w:rPr>
                <w:sz w:val="28"/>
              </w:rPr>
            </w:pPr>
            <w:r w:rsidRPr="009B7CC0">
              <w:rPr>
                <w:sz w:val="28"/>
              </w:rPr>
              <w:t>Research and Insight</w:t>
            </w:r>
          </w:p>
          <w:p w14:paraId="3F396555" w14:textId="77777777" w:rsidR="00625716" w:rsidRDefault="00625716" w:rsidP="00625716">
            <w:pPr>
              <w:jc w:val="center"/>
            </w:pPr>
          </w:p>
        </w:tc>
        <w:tc>
          <w:tcPr>
            <w:tcW w:w="7366" w:type="dxa"/>
          </w:tcPr>
          <w:p w14:paraId="17F14938" w14:textId="77777777" w:rsidR="00625716" w:rsidRDefault="00625716" w:rsidP="0062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aim to lead the way in knowledge and evidence-led insight on disabled people in sport and active recreation. Our research and insight explore barriers, motivations and lifestyles. </w:t>
            </w:r>
          </w:p>
          <w:p w14:paraId="1E92ACEE" w14:textId="77777777" w:rsidR="00625716" w:rsidRDefault="00625716" w:rsidP="0062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00FA27" w14:textId="77777777" w:rsidR="00625716" w:rsidRPr="00373975" w:rsidRDefault="00946C86" w:rsidP="0062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4" w:history="1">
              <w:r w:rsidR="00625716" w:rsidRPr="00373975">
                <w:rPr>
                  <w:rStyle w:val="Hyperlink"/>
                  <w:b/>
                </w:rPr>
                <w:t>Click here for a full list of our research</w:t>
              </w:r>
            </w:hyperlink>
          </w:p>
          <w:p w14:paraId="4C89A640" w14:textId="77777777" w:rsidR="00625716" w:rsidRPr="00F41961" w:rsidRDefault="00625716" w:rsidP="00625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61">
              <w:t>Research includes:</w:t>
            </w:r>
          </w:p>
          <w:p w14:paraId="57BBB74C" w14:textId="77777777" w:rsidR="00625716" w:rsidRPr="00F41961" w:rsidRDefault="00946C86" w:rsidP="00F41961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5" w:history="1">
              <w:r w:rsidR="00625716" w:rsidRPr="00F41961">
                <w:rPr>
                  <w:rStyle w:val="Hyperlink"/>
                  <w:sz w:val="24"/>
                  <w:szCs w:val="24"/>
                </w:rPr>
                <w:t>The Activity Trap Benefits or Being Fit</w:t>
              </w:r>
            </w:hyperlink>
          </w:p>
          <w:p w14:paraId="5773B47A" w14:textId="0A5C62FF" w:rsidR="00F41961" w:rsidRPr="000213A4" w:rsidRDefault="00946C86" w:rsidP="00F41961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26" w:history="1">
              <w:r w:rsidR="00F41961" w:rsidRPr="00F41961">
                <w:rPr>
                  <w:rStyle w:val="Hyperlink"/>
                  <w:sz w:val="24"/>
                  <w:szCs w:val="24"/>
                </w:rPr>
                <w:t>Annual Disability and Activity Survey</w:t>
              </w:r>
            </w:hyperlink>
          </w:p>
          <w:p w14:paraId="154E74FB" w14:textId="5182E65D" w:rsidR="000213A4" w:rsidRPr="000213A4" w:rsidRDefault="000213A4" w:rsidP="00F41961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"http://www.activityalliance.org.uk/how-we-help/research/5658-my-active-future-including-every-child" </w:instrText>
            </w:r>
            <w:r>
              <w:rPr>
                <w:sz w:val="24"/>
                <w:szCs w:val="24"/>
              </w:rPr>
              <w:fldChar w:fldCharType="separate"/>
            </w:r>
            <w:r w:rsidRPr="000213A4">
              <w:rPr>
                <w:rStyle w:val="Hyperlink"/>
                <w:sz w:val="24"/>
                <w:szCs w:val="24"/>
              </w:rPr>
              <w:t>My Active Future: Including Every Child</w:t>
            </w:r>
          </w:p>
          <w:p w14:paraId="0CDF8C4F" w14:textId="5AD1D6BC" w:rsidR="00F41961" w:rsidRPr="00F41961" w:rsidRDefault="000213A4" w:rsidP="00F41961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hyperlink r:id="rId27" w:history="1">
              <w:r w:rsidR="00F41961" w:rsidRPr="00F41961">
                <w:rPr>
                  <w:rStyle w:val="Hyperlink"/>
                  <w:sz w:val="24"/>
                  <w:szCs w:val="24"/>
                </w:rPr>
                <w:t>Delivering Activity To Disabled People The Workforce Perception Gap</w:t>
              </w:r>
            </w:hyperlink>
          </w:p>
          <w:p w14:paraId="771659F5" w14:textId="77777777" w:rsidR="00F41961" w:rsidRPr="0032384A" w:rsidRDefault="00373975" w:rsidP="00F41961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And m</w:t>
            </w:r>
            <w:r w:rsidR="00F41961" w:rsidRPr="00F41961">
              <w:rPr>
                <w:sz w:val="24"/>
                <w:szCs w:val="24"/>
              </w:rPr>
              <w:t>uch more</w:t>
            </w:r>
          </w:p>
        </w:tc>
      </w:tr>
      <w:tr w:rsidR="00F41961" w:rsidRPr="0032384A" w14:paraId="21846C15" w14:textId="77777777" w:rsidTr="0013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597931A" w14:textId="77777777" w:rsidR="00A659E1" w:rsidRDefault="00A659E1" w:rsidP="00A659E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65FD37" wp14:editId="30AFFFD9">
                  <wp:extent cx="1096662" cy="962025"/>
                  <wp:effectExtent l="0" t="0" r="8255" b="0"/>
                  <wp:docPr id="8" name="Picture 8" descr="Two people playing tennis" title="Programmes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naging Inclusive Programmes_Icon_RGB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39" cy="96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3314C" w14:textId="77777777" w:rsidR="00A659E1" w:rsidRDefault="00A659E1" w:rsidP="00A659E1"/>
          <w:p w14:paraId="26B71D2F" w14:textId="77777777" w:rsidR="00F41961" w:rsidRPr="0032384A" w:rsidRDefault="00A659E1" w:rsidP="00A659E1">
            <w:r w:rsidRPr="00653F26">
              <w:rPr>
                <w:sz w:val="28"/>
              </w:rPr>
              <w:t>Inclusive programmes</w:t>
            </w:r>
          </w:p>
        </w:tc>
        <w:tc>
          <w:tcPr>
            <w:tcW w:w="7366" w:type="dxa"/>
          </w:tcPr>
          <w:p w14:paraId="59E74F1E" w14:textId="77777777" w:rsidR="00F41961" w:rsidRPr="009D2DFF" w:rsidRDefault="00F41961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9D2DFF">
              <w:rPr>
                <w:lang w:val="en"/>
              </w:rPr>
              <w:t xml:space="preserve">We deliver a range of </w:t>
            </w:r>
            <w:proofErr w:type="spellStart"/>
            <w:r w:rsidRPr="009D2DFF">
              <w:rPr>
                <w:lang w:val="en"/>
              </w:rPr>
              <w:t>programmes</w:t>
            </w:r>
            <w:proofErr w:type="spellEnd"/>
            <w:r w:rsidRPr="009D2DFF">
              <w:rPr>
                <w:lang w:val="en"/>
              </w:rPr>
              <w:t xml:space="preserve"> and projects to support </w:t>
            </w:r>
            <w:proofErr w:type="spellStart"/>
            <w:r w:rsidRPr="009D2DFF">
              <w:rPr>
                <w:lang w:val="en"/>
              </w:rPr>
              <w:t>organisations</w:t>
            </w:r>
            <w:proofErr w:type="spellEnd"/>
            <w:r>
              <w:rPr>
                <w:lang w:val="en"/>
              </w:rPr>
              <w:t xml:space="preserve"> to engage more disabled people</w:t>
            </w:r>
            <w:r w:rsidRPr="009D2DFF">
              <w:rPr>
                <w:lang w:val="en"/>
              </w:rPr>
              <w:t xml:space="preserve">. These include: </w:t>
            </w:r>
          </w:p>
          <w:p w14:paraId="19D310D6" w14:textId="77777777" w:rsidR="00F41961" w:rsidRPr="009D2DFF" w:rsidRDefault="00946C86" w:rsidP="00F41961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9" w:history="1">
              <w:r w:rsidR="00F41961" w:rsidRPr="00A659E1">
                <w:rPr>
                  <w:rStyle w:val="Hyperlink"/>
                  <w:b/>
                  <w:sz w:val="24"/>
                  <w:szCs w:val="24"/>
                </w:rPr>
                <w:t xml:space="preserve">Inclusive Activity </w:t>
              </w:r>
              <w:proofErr w:type="spellStart"/>
              <w:r w:rsidR="00F41961" w:rsidRPr="00A659E1">
                <w:rPr>
                  <w:rStyle w:val="Hyperlink"/>
                  <w:b/>
                  <w:sz w:val="24"/>
                  <w:szCs w:val="24"/>
                </w:rPr>
                <w:t>Programme</w:t>
              </w:r>
              <w:proofErr w:type="spellEnd"/>
            </w:hyperlink>
            <w:r w:rsidR="00F41961" w:rsidRPr="009D2DFF">
              <w:rPr>
                <w:b/>
                <w:sz w:val="24"/>
                <w:szCs w:val="24"/>
              </w:rPr>
              <w:t xml:space="preserve"> –</w:t>
            </w:r>
            <w:r w:rsidR="00F41961">
              <w:rPr>
                <w:sz w:val="24"/>
                <w:szCs w:val="24"/>
              </w:rPr>
              <w:t xml:space="preserve"> </w:t>
            </w:r>
            <w:r w:rsidR="00F41961" w:rsidRPr="00032524">
              <w:rPr>
                <w:sz w:val="24"/>
                <w:szCs w:val="24"/>
              </w:rPr>
              <w:t>training that equips community groups, volunteers and coaches with the skills to engage disabled people and people with long-term health conditions more effectively in activities.</w:t>
            </w:r>
          </w:p>
          <w:p w14:paraId="51399A8A" w14:textId="77777777" w:rsidR="00F41961" w:rsidRPr="00DB28C2" w:rsidRDefault="00946C86" w:rsidP="00DB28C2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0" w:history="1">
              <w:r w:rsidR="00F41961" w:rsidRPr="00DB28C2">
                <w:rPr>
                  <w:rStyle w:val="Hyperlink"/>
                  <w:b/>
                  <w:sz w:val="24"/>
                  <w:szCs w:val="24"/>
                </w:rPr>
                <w:t>Get Out Get Active</w:t>
              </w:r>
            </w:hyperlink>
            <w:r w:rsidR="00F41961" w:rsidRPr="009D2DFF">
              <w:rPr>
                <w:b/>
                <w:sz w:val="24"/>
                <w:szCs w:val="24"/>
              </w:rPr>
              <w:t xml:space="preserve"> – </w:t>
            </w:r>
            <w:r w:rsidR="00F41961">
              <w:rPr>
                <w:sz w:val="24"/>
                <w:szCs w:val="24"/>
              </w:rPr>
              <w:t xml:space="preserve">Funded by Spirit of 2012, </w:t>
            </w:r>
            <w:r w:rsidR="00F41961" w:rsidRPr="00032524">
              <w:rPr>
                <w:sz w:val="24"/>
              </w:rPr>
              <w:t xml:space="preserve">supports disabled and non-disabled people to enjoy being active together. </w:t>
            </w:r>
            <w:r w:rsidR="00F41961">
              <w:rPr>
                <w:sz w:val="24"/>
              </w:rPr>
              <w:t>F</w:t>
            </w:r>
            <w:r w:rsidR="00F41961" w:rsidRPr="00032524">
              <w:rPr>
                <w:sz w:val="24"/>
              </w:rPr>
              <w:t>ocused on getting some of the UK's least active people moving more through fun and inclusive activities.</w:t>
            </w:r>
          </w:p>
          <w:p w14:paraId="29EA6DD6" w14:textId="77777777" w:rsidR="00F41961" w:rsidRPr="003C6368" w:rsidRDefault="00946C86" w:rsidP="00F41961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31" w:history="1">
              <w:r w:rsidR="00F41961" w:rsidRPr="00DB28C2">
                <w:rPr>
                  <w:rStyle w:val="Hyperlink"/>
                  <w:b/>
                  <w:sz w:val="24"/>
                  <w:szCs w:val="24"/>
                </w:rPr>
                <w:t>Inclusive PE training</w:t>
              </w:r>
            </w:hyperlink>
            <w:r w:rsidR="00F41961" w:rsidRPr="009D2DFF">
              <w:rPr>
                <w:b/>
                <w:sz w:val="24"/>
                <w:szCs w:val="24"/>
              </w:rPr>
              <w:t xml:space="preserve"> –</w:t>
            </w:r>
            <w:r w:rsidR="00F41961">
              <w:rPr>
                <w:sz w:val="24"/>
                <w:szCs w:val="24"/>
              </w:rPr>
              <w:t xml:space="preserve"> </w:t>
            </w:r>
            <w:r w:rsidR="00F41961">
              <w:rPr>
                <w:sz w:val="24"/>
              </w:rPr>
              <w:t>f</w:t>
            </w:r>
            <w:r w:rsidR="00F41961" w:rsidRPr="00F90094">
              <w:rPr>
                <w:sz w:val="24"/>
              </w:rPr>
              <w:t xml:space="preserve">ree training workshops and resources for teachers, trainee teachers and school staff. </w:t>
            </w:r>
          </w:p>
        </w:tc>
      </w:tr>
      <w:tr w:rsidR="00F41961" w:rsidRPr="0032384A" w14:paraId="089FEB1C" w14:textId="77777777" w:rsidTr="00131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0332416" w14:textId="77777777" w:rsidR="00F41961" w:rsidRDefault="00F41961" w:rsidP="00F41961">
            <w:pPr>
              <w:jc w:val="center"/>
            </w:pPr>
          </w:p>
          <w:p w14:paraId="74FC649D" w14:textId="77777777" w:rsidR="00F41961" w:rsidRDefault="00F41961" w:rsidP="00F4196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F6EBA4" wp14:editId="1DBADB2E">
                  <wp:extent cx="990600" cy="1030814"/>
                  <wp:effectExtent l="0" t="0" r="0" b="0"/>
                  <wp:docPr id="7" name="Picture 7" descr="A rolled up newspaper with the icons for facebook, twitter and emails" title="Marketing gra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pplying Inclusive Marketing_Icon_RGB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11" cy="103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CC85C" w14:textId="77777777" w:rsidR="00F41961" w:rsidRDefault="00F41961" w:rsidP="00F41961"/>
          <w:p w14:paraId="2C8F2580" w14:textId="77777777" w:rsidR="00F41961" w:rsidRPr="00653F26" w:rsidRDefault="00F41961" w:rsidP="00F41961">
            <w:pPr>
              <w:rPr>
                <w:sz w:val="28"/>
              </w:rPr>
            </w:pPr>
            <w:r w:rsidRPr="00653F26">
              <w:rPr>
                <w:sz w:val="28"/>
              </w:rPr>
              <w:t xml:space="preserve">Inclusive marketing and communications </w:t>
            </w:r>
          </w:p>
          <w:p w14:paraId="0A9E5C32" w14:textId="77777777" w:rsidR="00F41961" w:rsidRPr="0032384A" w:rsidRDefault="00F41961" w:rsidP="00F41961"/>
        </w:tc>
        <w:tc>
          <w:tcPr>
            <w:tcW w:w="7366" w:type="dxa"/>
            <w:hideMark/>
          </w:tcPr>
          <w:p w14:paraId="7843A295" w14:textId="77777777" w:rsidR="00F41961" w:rsidRDefault="00F41961" w:rsidP="00F4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Inclusive and accessible marketing communications can help everyone to reach more people, including disabled people. </w:t>
            </w:r>
          </w:p>
          <w:p w14:paraId="55C125B7" w14:textId="77777777" w:rsidR="00F41961" w:rsidRDefault="00F41961" w:rsidP="00F4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0B36C" w14:textId="77777777" w:rsidR="00F41961" w:rsidRDefault="00B65658" w:rsidP="00F4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Inclusive marketing and communications guide and factsheets</w:t>
            </w:r>
          </w:p>
          <w:p w14:paraId="7A801D2F" w14:textId="77777777" w:rsidR="00B65658" w:rsidRDefault="00B65658" w:rsidP="00F4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B65658">
              <w:rPr>
                <w:rFonts w:ascii="Calibri" w:hAnsi="Calibri" w:cs="Calibri"/>
                <w:color w:val="333333"/>
                <w:shd w:val="clear" w:color="auto" w:fill="FFFFFF"/>
              </w:rPr>
              <w:t>support providers to be more accessible and inclusive in their communications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. </w:t>
            </w:r>
          </w:p>
          <w:p w14:paraId="1FEC8418" w14:textId="77777777" w:rsidR="00B65658" w:rsidRPr="00B65658" w:rsidRDefault="00B65658" w:rsidP="00F4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</w:p>
          <w:p w14:paraId="4F945579" w14:textId="77777777" w:rsidR="00F41961" w:rsidRPr="00B65658" w:rsidRDefault="00946C86" w:rsidP="00F41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hyperlink r:id="rId33" w:history="1">
              <w:r w:rsidR="00B65658" w:rsidRPr="00B65658">
                <w:rPr>
                  <w:rStyle w:val="Hyperlink"/>
                  <w:rFonts w:ascii="Calibri" w:hAnsi="Calibri" w:cs="Calibri"/>
                  <w:b/>
                  <w:shd w:val="clear" w:color="auto" w:fill="FFFFFF"/>
                </w:rPr>
                <w:t>Click here for guide and factsheets.</w:t>
              </w:r>
            </w:hyperlink>
          </w:p>
        </w:tc>
      </w:tr>
      <w:tr w:rsidR="00373975" w:rsidRPr="0032384A" w14:paraId="1207DEA1" w14:textId="77777777" w:rsidTr="00131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A0B5714" w14:textId="77777777" w:rsidR="00373975" w:rsidRDefault="00831852" w:rsidP="0083185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773D11" wp14:editId="0D6E8859">
                  <wp:extent cx="1698859" cy="1652714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152" cy="166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8862A" w14:textId="77777777" w:rsidR="00373975" w:rsidRDefault="00373975" w:rsidP="00F41961">
            <w:pPr>
              <w:jc w:val="center"/>
            </w:pPr>
            <w:r>
              <w:t>Other useful links/resources</w:t>
            </w:r>
          </w:p>
        </w:tc>
        <w:tc>
          <w:tcPr>
            <w:tcW w:w="7366" w:type="dxa"/>
          </w:tcPr>
          <w:p w14:paraId="67DFC250" w14:textId="77777777" w:rsidR="00831852" w:rsidRPr="00831852" w:rsidRDefault="00831852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Additional resources of note: </w:t>
            </w:r>
          </w:p>
          <w:p w14:paraId="0E2E54BA" w14:textId="77777777" w:rsidR="00831852" w:rsidRDefault="00831852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518FF" w14:textId="77777777" w:rsidR="00373975" w:rsidRDefault="00946C86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373975" w:rsidRPr="00373975">
                <w:rPr>
                  <w:rStyle w:val="Hyperlink"/>
                </w:rPr>
                <w:t>Talk to Me Ten Principles – Women</w:t>
              </w:r>
            </w:hyperlink>
          </w:p>
          <w:p w14:paraId="014CB5AC" w14:textId="77777777" w:rsidR="00373975" w:rsidRDefault="00946C86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373975" w:rsidRPr="00373975">
                <w:rPr>
                  <w:rStyle w:val="Hyperlink"/>
                </w:rPr>
                <w:t xml:space="preserve">Get Out Get Active volunteering toolkit </w:t>
              </w:r>
            </w:hyperlink>
          </w:p>
          <w:p w14:paraId="76E24273" w14:textId="77777777" w:rsidR="00373975" w:rsidRDefault="00946C86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373975" w:rsidRPr="00373975">
                <w:rPr>
                  <w:rStyle w:val="Hyperlink"/>
                </w:rPr>
                <w:t xml:space="preserve">Talk to Me Ten Principles – Older People </w:t>
              </w:r>
            </w:hyperlink>
            <w:r w:rsidR="00373975">
              <w:t xml:space="preserve"> </w:t>
            </w:r>
          </w:p>
          <w:p w14:paraId="3FF02906" w14:textId="77777777" w:rsidR="00373975" w:rsidRDefault="00946C86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8" w:history="1">
              <w:r w:rsidR="00373975" w:rsidRPr="00373975">
                <w:rPr>
                  <w:rStyle w:val="Hyperlink"/>
                </w:rPr>
                <w:t>Women in Sport Get Out Get Active Toolkit - engaging women in activity</w:t>
              </w:r>
            </w:hyperlink>
          </w:p>
          <w:p w14:paraId="29728351" w14:textId="283F2A17" w:rsidR="000213A4" w:rsidRPr="00FB77E0" w:rsidRDefault="00946C86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000000" w:themeColor="text1"/>
                <w:u w:val="none"/>
              </w:rPr>
            </w:pPr>
            <w:hyperlink r:id="rId39" w:history="1">
              <w:r w:rsidR="000213A4" w:rsidRPr="00FB77E0">
                <w:rPr>
                  <w:rStyle w:val="Hyperlink"/>
                </w:rPr>
                <w:t>Being Active Easy Read Guide and Videos</w:t>
              </w:r>
            </w:hyperlink>
          </w:p>
          <w:p w14:paraId="611C341B" w14:textId="6A178F5E" w:rsidR="00FB77E0" w:rsidRDefault="00946C86" w:rsidP="00F41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FB77E0" w:rsidRPr="00FB77E0">
                <w:rPr>
                  <w:rStyle w:val="Hyperlink"/>
                </w:rPr>
                <w:t>L</w:t>
              </w:r>
              <w:r w:rsidR="00A8133F">
                <w:rPr>
                  <w:rStyle w:val="Hyperlink"/>
                </w:rPr>
                <w:t>ead</w:t>
              </w:r>
              <w:r w:rsidR="00FB77E0" w:rsidRPr="00FB77E0">
                <w:rPr>
                  <w:rStyle w:val="Hyperlink"/>
                </w:rPr>
                <w:t xml:space="preserve"> – Organisational </w:t>
              </w:r>
              <w:r w:rsidR="00FB77E0">
                <w:rPr>
                  <w:rStyle w:val="Hyperlink"/>
                </w:rPr>
                <w:t xml:space="preserve">Development and </w:t>
              </w:r>
              <w:r w:rsidR="00FB77E0" w:rsidRPr="00FB77E0">
                <w:rPr>
                  <w:rStyle w:val="Hyperlink"/>
                </w:rPr>
                <w:t>Improvement</w:t>
              </w:r>
            </w:hyperlink>
            <w:r w:rsidR="00FB77E0">
              <w:rPr>
                <w:rStyle w:val="Hyperlink"/>
              </w:rPr>
              <w:t xml:space="preserve"> </w:t>
            </w:r>
          </w:p>
        </w:tc>
      </w:tr>
    </w:tbl>
    <w:p w14:paraId="52F492C4" w14:textId="77777777" w:rsidR="000F5F98" w:rsidRPr="0032384A" w:rsidRDefault="000F5F98" w:rsidP="000F5F98"/>
    <w:sectPr w:rsidR="000F5F98" w:rsidRPr="0032384A" w:rsidSect="00B62788">
      <w:headerReference w:type="default" r:id="rId41"/>
      <w:pgSz w:w="11900" w:h="16840"/>
      <w:pgMar w:top="-851" w:right="851" w:bottom="1134" w:left="851" w:header="426" w:footer="485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CAE9" w14:textId="77777777" w:rsidR="002C37E3" w:rsidRDefault="002C37E3" w:rsidP="003A4CFD">
      <w:r>
        <w:separator/>
      </w:r>
    </w:p>
  </w:endnote>
  <w:endnote w:type="continuationSeparator" w:id="0">
    <w:p w14:paraId="6267AEF8" w14:textId="77777777" w:rsidR="002C37E3" w:rsidRDefault="002C37E3" w:rsidP="003A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EBE7B" w14:textId="77777777" w:rsidR="002C37E3" w:rsidRDefault="002C37E3" w:rsidP="003A4CFD">
      <w:r>
        <w:separator/>
      </w:r>
    </w:p>
  </w:footnote>
  <w:footnote w:type="continuationSeparator" w:id="0">
    <w:p w14:paraId="16261816" w14:textId="77777777" w:rsidR="002C37E3" w:rsidRDefault="002C37E3" w:rsidP="003A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B638" w14:textId="77777777" w:rsidR="0007298B" w:rsidRDefault="0007298B" w:rsidP="00491BBD">
    <w:pPr>
      <w:pStyle w:val="Header"/>
      <w:tabs>
        <w:tab w:val="left" w:pos="8790"/>
      </w:tabs>
      <w:spacing w:line="1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6541A7"/>
    <w:multiLevelType w:val="hybridMultilevel"/>
    <w:tmpl w:val="15FC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B79E2"/>
    <w:multiLevelType w:val="hybridMultilevel"/>
    <w:tmpl w:val="D092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7A7C91"/>
    <w:multiLevelType w:val="hybridMultilevel"/>
    <w:tmpl w:val="2BB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24E83"/>
    <w:multiLevelType w:val="hybridMultilevel"/>
    <w:tmpl w:val="D032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41A73"/>
    <w:multiLevelType w:val="hybridMultilevel"/>
    <w:tmpl w:val="CEC6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577A5"/>
    <w:multiLevelType w:val="hybridMultilevel"/>
    <w:tmpl w:val="30C6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C47B3"/>
    <w:multiLevelType w:val="hybridMultilevel"/>
    <w:tmpl w:val="BE10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DB6CD7"/>
    <w:multiLevelType w:val="hybridMultilevel"/>
    <w:tmpl w:val="96A0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32627"/>
    <w:multiLevelType w:val="hybridMultilevel"/>
    <w:tmpl w:val="C9E2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84705"/>
    <w:multiLevelType w:val="hybridMultilevel"/>
    <w:tmpl w:val="9BCA2A24"/>
    <w:lvl w:ilvl="0" w:tplc="D0E6949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017D38"/>
    <w:multiLevelType w:val="hybridMultilevel"/>
    <w:tmpl w:val="3B2E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A0D2F"/>
    <w:multiLevelType w:val="hybridMultilevel"/>
    <w:tmpl w:val="E5F4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31CFF"/>
    <w:multiLevelType w:val="hybridMultilevel"/>
    <w:tmpl w:val="3D8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DD4137D"/>
    <w:multiLevelType w:val="hybridMultilevel"/>
    <w:tmpl w:val="C2DC1BC2"/>
    <w:lvl w:ilvl="0" w:tplc="D0E69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24FE5"/>
    <w:multiLevelType w:val="hybridMultilevel"/>
    <w:tmpl w:val="6A2E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163666A"/>
    <w:multiLevelType w:val="hybridMultilevel"/>
    <w:tmpl w:val="86CE0390"/>
    <w:lvl w:ilvl="0" w:tplc="D2968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4821"/>
    <w:multiLevelType w:val="hybridMultilevel"/>
    <w:tmpl w:val="B34E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06045"/>
    <w:multiLevelType w:val="hybridMultilevel"/>
    <w:tmpl w:val="C6AE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0791"/>
    <w:multiLevelType w:val="hybridMultilevel"/>
    <w:tmpl w:val="3452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E1C8C"/>
    <w:multiLevelType w:val="hybridMultilevel"/>
    <w:tmpl w:val="BE6E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E56EF"/>
    <w:multiLevelType w:val="hybridMultilevel"/>
    <w:tmpl w:val="50A65800"/>
    <w:lvl w:ilvl="0" w:tplc="D0E69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42BC3"/>
    <w:multiLevelType w:val="hybridMultilevel"/>
    <w:tmpl w:val="F728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7C65B8"/>
    <w:multiLevelType w:val="hybridMultilevel"/>
    <w:tmpl w:val="F4B2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6" w15:restartNumberingAfterBreak="0">
    <w:nsid w:val="7E851932"/>
    <w:multiLevelType w:val="hybridMultilevel"/>
    <w:tmpl w:val="64F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0"/>
  </w:num>
  <w:num w:numId="4">
    <w:abstractNumId w:val="43"/>
  </w:num>
  <w:num w:numId="5">
    <w:abstractNumId w:val="15"/>
  </w:num>
  <w:num w:numId="6">
    <w:abstractNumId w:val="26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35"/>
  </w:num>
  <w:num w:numId="21">
    <w:abstractNumId w:val="27"/>
  </w:num>
  <w:num w:numId="22">
    <w:abstractNumId w:val="11"/>
  </w:num>
  <w:num w:numId="23">
    <w:abstractNumId w:val="45"/>
  </w:num>
  <w:num w:numId="24">
    <w:abstractNumId w:val="42"/>
  </w:num>
  <w:num w:numId="25">
    <w:abstractNumId w:val="33"/>
  </w:num>
  <w:num w:numId="26">
    <w:abstractNumId w:val="39"/>
  </w:num>
  <w:num w:numId="27">
    <w:abstractNumId w:val="38"/>
  </w:num>
  <w:num w:numId="28">
    <w:abstractNumId w:val="16"/>
  </w:num>
  <w:num w:numId="29">
    <w:abstractNumId w:val="14"/>
  </w:num>
  <w:num w:numId="30">
    <w:abstractNumId w:val="28"/>
  </w:num>
  <w:num w:numId="31">
    <w:abstractNumId w:val="17"/>
  </w:num>
  <w:num w:numId="32">
    <w:abstractNumId w:val="44"/>
  </w:num>
  <w:num w:numId="33">
    <w:abstractNumId w:val="20"/>
  </w:num>
  <w:num w:numId="34">
    <w:abstractNumId w:val="37"/>
  </w:num>
  <w:num w:numId="35">
    <w:abstractNumId w:val="13"/>
  </w:num>
  <w:num w:numId="36">
    <w:abstractNumId w:val="23"/>
  </w:num>
  <w:num w:numId="37">
    <w:abstractNumId w:val="46"/>
  </w:num>
  <w:num w:numId="38">
    <w:abstractNumId w:val="19"/>
  </w:num>
  <w:num w:numId="39">
    <w:abstractNumId w:val="40"/>
  </w:num>
  <w:num w:numId="40">
    <w:abstractNumId w:val="24"/>
  </w:num>
  <w:num w:numId="41">
    <w:abstractNumId w:val="41"/>
  </w:num>
  <w:num w:numId="42">
    <w:abstractNumId w:val="32"/>
  </w:num>
  <w:num w:numId="43">
    <w:abstractNumId w:val="25"/>
  </w:num>
  <w:num w:numId="44">
    <w:abstractNumId w:val="30"/>
  </w:num>
  <w:num w:numId="45">
    <w:abstractNumId w:val="29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FD"/>
    <w:rsid w:val="00012AEE"/>
    <w:rsid w:val="0001681B"/>
    <w:rsid w:val="000213A4"/>
    <w:rsid w:val="00032524"/>
    <w:rsid w:val="0007298B"/>
    <w:rsid w:val="000C14EC"/>
    <w:rsid w:val="000D765D"/>
    <w:rsid w:val="000F5F98"/>
    <w:rsid w:val="00131671"/>
    <w:rsid w:val="00133867"/>
    <w:rsid w:val="0013520A"/>
    <w:rsid w:val="00140C50"/>
    <w:rsid w:val="001453FB"/>
    <w:rsid w:val="00161BA5"/>
    <w:rsid w:val="00171435"/>
    <w:rsid w:val="00196B23"/>
    <w:rsid w:val="00196C83"/>
    <w:rsid w:val="001E66E7"/>
    <w:rsid w:val="00215D1D"/>
    <w:rsid w:val="002209E6"/>
    <w:rsid w:val="002300B7"/>
    <w:rsid w:val="002341EF"/>
    <w:rsid w:val="002428F2"/>
    <w:rsid w:val="00272F75"/>
    <w:rsid w:val="002831EC"/>
    <w:rsid w:val="002B22E3"/>
    <w:rsid w:val="002C07F2"/>
    <w:rsid w:val="002C37E3"/>
    <w:rsid w:val="003028DC"/>
    <w:rsid w:val="00312E6A"/>
    <w:rsid w:val="00315274"/>
    <w:rsid w:val="00315ED2"/>
    <w:rsid w:val="003204DB"/>
    <w:rsid w:val="0032384A"/>
    <w:rsid w:val="00364D55"/>
    <w:rsid w:val="00373975"/>
    <w:rsid w:val="003910C7"/>
    <w:rsid w:val="003A4CFD"/>
    <w:rsid w:val="003B07B1"/>
    <w:rsid w:val="003C4D13"/>
    <w:rsid w:val="003C6368"/>
    <w:rsid w:val="003E2D5F"/>
    <w:rsid w:val="004222C0"/>
    <w:rsid w:val="0044249B"/>
    <w:rsid w:val="004642E8"/>
    <w:rsid w:val="00481A09"/>
    <w:rsid w:val="00491BBD"/>
    <w:rsid w:val="00495C23"/>
    <w:rsid w:val="004B541E"/>
    <w:rsid w:val="004C2071"/>
    <w:rsid w:val="004C2EE0"/>
    <w:rsid w:val="004C7E8C"/>
    <w:rsid w:val="004D09C3"/>
    <w:rsid w:val="004D6885"/>
    <w:rsid w:val="004D75A4"/>
    <w:rsid w:val="004E214B"/>
    <w:rsid w:val="00511F30"/>
    <w:rsid w:val="005328AF"/>
    <w:rsid w:val="00535AF8"/>
    <w:rsid w:val="00551E6E"/>
    <w:rsid w:val="00565988"/>
    <w:rsid w:val="00572F96"/>
    <w:rsid w:val="00573E4E"/>
    <w:rsid w:val="00584ABA"/>
    <w:rsid w:val="005A256F"/>
    <w:rsid w:val="005A3BBC"/>
    <w:rsid w:val="005C3167"/>
    <w:rsid w:val="006110F6"/>
    <w:rsid w:val="00625716"/>
    <w:rsid w:val="00641F77"/>
    <w:rsid w:val="00645252"/>
    <w:rsid w:val="00653F26"/>
    <w:rsid w:val="00665264"/>
    <w:rsid w:val="00671C10"/>
    <w:rsid w:val="00671EC6"/>
    <w:rsid w:val="00672CFE"/>
    <w:rsid w:val="00675EA5"/>
    <w:rsid w:val="006C1DF2"/>
    <w:rsid w:val="006D3D74"/>
    <w:rsid w:val="006D4E9F"/>
    <w:rsid w:val="006F111E"/>
    <w:rsid w:val="006F2DBD"/>
    <w:rsid w:val="007176D9"/>
    <w:rsid w:val="00750BDE"/>
    <w:rsid w:val="0077503B"/>
    <w:rsid w:val="00776552"/>
    <w:rsid w:val="007A6B26"/>
    <w:rsid w:val="007A75A0"/>
    <w:rsid w:val="007D6872"/>
    <w:rsid w:val="007E2211"/>
    <w:rsid w:val="007E4B53"/>
    <w:rsid w:val="008072E0"/>
    <w:rsid w:val="00807A40"/>
    <w:rsid w:val="00831852"/>
    <w:rsid w:val="00832E93"/>
    <w:rsid w:val="0083569A"/>
    <w:rsid w:val="00872499"/>
    <w:rsid w:val="00885C27"/>
    <w:rsid w:val="008D39EF"/>
    <w:rsid w:val="008D4198"/>
    <w:rsid w:val="008E165B"/>
    <w:rsid w:val="009100D9"/>
    <w:rsid w:val="00910CD0"/>
    <w:rsid w:val="00933E14"/>
    <w:rsid w:val="00940353"/>
    <w:rsid w:val="00946C86"/>
    <w:rsid w:val="00973A8E"/>
    <w:rsid w:val="0098212F"/>
    <w:rsid w:val="0098666F"/>
    <w:rsid w:val="0099134D"/>
    <w:rsid w:val="009B7CC0"/>
    <w:rsid w:val="009D2DFF"/>
    <w:rsid w:val="009D3E06"/>
    <w:rsid w:val="009E4B3D"/>
    <w:rsid w:val="009F59A4"/>
    <w:rsid w:val="00A27221"/>
    <w:rsid w:val="00A30B4F"/>
    <w:rsid w:val="00A43FCB"/>
    <w:rsid w:val="00A45DD5"/>
    <w:rsid w:val="00A659E1"/>
    <w:rsid w:val="00A8133F"/>
    <w:rsid w:val="00A9141D"/>
    <w:rsid w:val="00A9204E"/>
    <w:rsid w:val="00AA1CB2"/>
    <w:rsid w:val="00AA6F90"/>
    <w:rsid w:val="00AB6508"/>
    <w:rsid w:val="00AD2554"/>
    <w:rsid w:val="00AF3C8F"/>
    <w:rsid w:val="00B11E45"/>
    <w:rsid w:val="00B42A63"/>
    <w:rsid w:val="00B62788"/>
    <w:rsid w:val="00B63FED"/>
    <w:rsid w:val="00B65658"/>
    <w:rsid w:val="00B718CA"/>
    <w:rsid w:val="00B9526B"/>
    <w:rsid w:val="00BB3D2D"/>
    <w:rsid w:val="00BF7F1C"/>
    <w:rsid w:val="00C122B8"/>
    <w:rsid w:val="00C151B6"/>
    <w:rsid w:val="00C22BF6"/>
    <w:rsid w:val="00C338F2"/>
    <w:rsid w:val="00C57F92"/>
    <w:rsid w:val="00C62F68"/>
    <w:rsid w:val="00C93FD7"/>
    <w:rsid w:val="00C97A92"/>
    <w:rsid w:val="00CB5332"/>
    <w:rsid w:val="00CC1779"/>
    <w:rsid w:val="00CE3B1E"/>
    <w:rsid w:val="00D164D3"/>
    <w:rsid w:val="00D274FC"/>
    <w:rsid w:val="00D42762"/>
    <w:rsid w:val="00D74389"/>
    <w:rsid w:val="00D75CF7"/>
    <w:rsid w:val="00D97F9D"/>
    <w:rsid w:val="00DA7507"/>
    <w:rsid w:val="00DB28C2"/>
    <w:rsid w:val="00DD1015"/>
    <w:rsid w:val="00DD12A3"/>
    <w:rsid w:val="00E140DE"/>
    <w:rsid w:val="00E14DAC"/>
    <w:rsid w:val="00E55562"/>
    <w:rsid w:val="00E74260"/>
    <w:rsid w:val="00E82ED6"/>
    <w:rsid w:val="00EC1CEF"/>
    <w:rsid w:val="00ED759D"/>
    <w:rsid w:val="00F07BCF"/>
    <w:rsid w:val="00F3004A"/>
    <w:rsid w:val="00F33A03"/>
    <w:rsid w:val="00F41961"/>
    <w:rsid w:val="00F51C8D"/>
    <w:rsid w:val="00F54FEB"/>
    <w:rsid w:val="00F90094"/>
    <w:rsid w:val="00F94020"/>
    <w:rsid w:val="00FA18A8"/>
    <w:rsid w:val="00FB77E0"/>
    <w:rsid w:val="00FC2B6C"/>
    <w:rsid w:val="00FC4A0A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0E51BB"/>
  <w15:chartTrackingRefBased/>
  <w15:docId w15:val="{97B4285F-6407-4D33-B604-FC053F4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CF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A4CFD"/>
    <w:pPr>
      <w:ind w:left="720"/>
      <w:contextualSpacing/>
    </w:pPr>
    <w:rPr>
      <w:sz w:val="22"/>
      <w:szCs w:val="22"/>
      <w:lang w:val="en-US"/>
    </w:rPr>
  </w:style>
  <w:style w:type="table" w:styleId="ListTable3-Accent1">
    <w:name w:val="List Table 3 Accent 1"/>
    <w:basedOn w:val="TableNormal"/>
    <w:uiPriority w:val="48"/>
    <w:rsid w:val="0013167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167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77503B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://www.activityalliance.org.uk/assets/000/002/806/Engagement_through_research_and_insight_original.pdf?1556029041" TargetMode="External"/><Relationship Id="rId26" Type="http://schemas.openxmlformats.org/officeDocument/2006/relationships/hyperlink" Target="http://www.activityalliance.org.uk/how-we-help/research/5563-activity-alliance-annual-disability-and-activity-survey" TargetMode="External"/><Relationship Id="rId39" Type="http://schemas.openxmlformats.org/officeDocument/2006/relationships/hyperlink" Target="http://www.activityalliance.org.uk/get-active/how-to-sta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ctivityalliance.org.uk/assets/000/002/811/Supporters'_roles_in_engaging_disabled_people_original.pdf?1556029446" TargetMode="External"/><Relationship Id="rId34" Type="http://schemas.openxmlformats.org/officeDocument/2006/relationships/image" Target="media/image6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fo@activityalliance.org.uk" TargetMode="External"/><Relationship Id="rId17" Type="http://schemas.openxmlformats.org/officeDocument/2006/relationships/hyperlink" Target="http://www.activityalliance.org.uk/assets/000/002/811/Supporters'_roles_in_engaging_disabled_people_original.pdf?1556029446" TargetMode="External"/><Relationship Id="rId25" Type="http://schemas.openxmlformats.org/officeDocument/2006/relationships/hyperlink" Target="http://www.activityalliance.org.uk/how-we-help/research/4404-the-activity-trap-benefits-or-being-fit" TargetMode="External"/><Relationship Id="rId33" Type="http://schemas.openxmlformats.org/officeDocument/2006/relationships/hyperlink" Target="http://www.activityalliance.org.uk/how-we-help/programmes/1817-inclusive-marketing-and-communications" TargetMode="External"/><Relationship Id="rId38" Type="http://schemas.openxmlformats.org/officeDocument/2006/relationships/hyperlink" Target="https://www.womeninsport.org/research-and-advice/our-publications/get-out-get-activ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tivityalliance.org.uk/assets/000/002/805/Effective_Engagement_original.pdf?1556028946" TargetMode="External"/><Relationship Id="rId20" Type="http://schemas.openxmlformats.org/officeDocument/2006/relationships/hyperlink" Target="http://www.activityalliance.org.uk/assets/000/002/810/Understanding_children_and_young_people_original.pdf?1556029378" TargetMode="External"/><Relationship Id="rId29" Type="http://schemas.openxmlformats.org/officeDocument/2006/relationships/hyperlink" Target="http://www.activityalliance.org.uk/how-we-help/training/inclusive-activity-programm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ivityalliance.org.uk/engagement" TargetMode="External"/><Relationship Id="rId24" Type="http://schemas.openxmlformats.org/officeDocument/2006/relationships/hyperlink" Target="http://www.activityalliance.org.uk/how-we-help/research/4730-delivering-activity-to-disabled-people-the-workforce-perception-gap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www.ageuk.org.uk/globalassets/age-uk/documents/reports-and-publications/talk-to-me-principles---engaging-older-people-final.pdf" TargetMode="External"/><Relationship Id="rId40" Type="http://schemas.openxmlformats.org/officeDocument/2006/relationships/hyperlink" Target="http://www.activityalliance.org.uk/how-we-help/programmes/4678-improvement-development-and-leadersh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playlist?list=PLA7MMK5VqkdoBEKLvqQ6bqNNz-0JCtgOa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4.png"/><Relationship Id="rId36" Type="http://schemas.openxmlformats.org/officeDocument/2006/relationships/hyperlink" Target="https://toolkit.volunteeringmatters.org.uk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activityalliance.org.uk/assets/000/002/809/Engaging_older_people_original.pdf?1556029302" TargetMode="External"/><Relationship Id="rId31" Type="http://schemas.openxmlformats.org/officeDocument/2006/relationships/hyperlink" Target="https://inclusivepe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tivityalliance.org.uk/how-we-help/programmes/1746-engagement-and-partnerships" TargetMode="External"/><Relationship Id="rId22" Type="http://schemas.openxmlformats.org/officeDocument/2006/relationships/hyperlink" Target="http://www.activityalliance.org.uk/how-we-help/research/ten-principles" TargetMode="External"/><Relationship Id="rId27" Type="http://schemas.openxmlformats.org/officeDocument/2006/relationships/hyperlink" Target="http://www.activityalliance.org.uk/how-we-help/research/4730-delivering-activity-to-disabled-people-the-workforce-perception-gap" TargetMode="External"/><Relationship Id="rId30" Type="http://schemas.openxmlformats.org/officeDocument/2006/relationships/hyperlink" Target="http://www.getoutgetactive.co.uk/news/415-show-and-tell-finding-time-to-talk-whilst-being-active" TargetMode="External"/><Relationship Id="rId35" Type="http://schemas.openxmlformats.org/officeDocument/2006/relationships/hyperlink" Target="https://www.womeninsport.org/wp-content/uploads/2019/02/Talk-to-me-principles-engaging-all-women-FINAL.pdf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Whitak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1000</Words>
  <Characters>5701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Daniel Allen</cp:lastModifiedBy>
  <cp:revision>2</cp:revision>
  <cp:lastPrinted>2019-05-08T07:38:00Z</cp:lastPrinted>
  <dcterms:created xsi:type="dcterms:W3CDTF">2020-06-10T10:10:00Z</dcterms:created>
  <dcterms:modified xsi:type="dcterms:W3CDTF">2020-06-10T10:10:00Z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